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УДК 303.725.37(430)</w:t>
      </w:r>
    </w:p>
    <w:p w:rsidR="00060DD9" w:rsidRPr="004B7AFD" w:rsidRDefault="00060DD9" w:rsidP="004B7AFD">
      <w:pPr>
        <w:pStyle w:val="1"/>
        <w:spacing w:before="0" w:after="225" w:line="360" w:lineRule="auto"/>
        <w:jc w:val="both"/>
        <w:rPr>
          <w:rFonts w:ascii="Times New Roman" w:hAnsi="Times New Roman"/>
          <w:bCs w:val="0"/>
          <w:sz w:val="28"/>
          <w:szCs w:val="28"/>
          <w:lang w:val="uk-UA"/>
        </w:rPr>
      </w:pPr>
    </w:p>
    <w:p w:rsidR="00060DD9" w:rsidRPr="004B7AFD" w:rsidRDefault="00060DD9" w:rsidP="004B7AFD">
      <w:pPr>
        <w:spacing w:line="360" w:lineRule="auto"/>
        <w:ind w:firstLine="363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smartTag w:uri="urn:schemas-microsoft-com:office:smarttags" w:element="PersonName">
        <w:smartTagPr>
          <w:attr w:name="ProductID" w:val="Олексій Картунов"/>
        </w:smartTagPr>
        <w:r w:rsidRPr="004B7AFD">
          <w:rPr>
            <w:rStyle w:val="a7"/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val="uk-UA"/>
          </w:rPr>
          <w:t xml:space="preserve">Олексій </w:t>
        </w:r>
        <w:proofErr w:type="spellStart"/>
        <w:r w:rsidRPr="004B7AFD">
          <w:rPr>
            <w:rStyle w:val="a7"/>
            <w:rFonts w:ascii="Times New Roman" w:hAnsi="Times New Roman"/>
            <w:color w:val="000000"/>
            <w:sz w:val="28"/>
            <w:szCs w:val="28"/>
            <w:bdr w:val="none" w:sz="0" w:space="0" w:color="auto" w:frame="1"/>
            <w:lang w:val="uk-UA"/>
          </w:rPr>
          <w:t>Картунов</w:t>
        </w:r>
      </w:smartTag>
      <w:proofErr w:type="spellEnd"/>
      <w:r w:rsidRPr="004B7AFD">
        <w:rPr>
          <w:rStyle w:val="a7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</w:t>
      </w:r>
      <w:r w:rsidRPr="004B7AFD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доктор політичних наук,</w:t>
      </w:r>
    </w:p>
    <w:p w:rsidR="00060DD9" w:rsidRPr="004B7AFD" w:rsidRDefault="00060DD9" w:rsidP="004B7AFD">
      <w:pPr>
        <w:spacing w:line="360" w:lineRule="auto"/>
        <w:ind w:firstLine="363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професор, завідувач кафедри суспільних наук</w:t>
      </w:r>
    </w:p>
    <w:p w:rsidR="00060DD9" w:rsidRPr="004B7AFD" w:rsidRDefault="00060DD9" w:rsidP="004B7AFD">
      <w:pPr>
        <w:spacing w:line="360" w:lineRule="auto"/>
        <w:ind w:firstLine="363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Університету економіки та права «КРОК»,</w:t>
      </w:r>
    </w:p>
    <w:p w:rsidR="00060DD9" w:rsidRPr="004B7AFD" w:rsidRDefault="00060DD9" w:rsidP="004B7AFD">
      <w:pPr>
        <w:spacing w:line="360" w:lineRule="auto"/>
        <w:ind w:firstLine="3630"/>
        <w:jc w:val="both"/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академік Української Академії політичних наук,</w:t>
      </w:r>
    </w:p>
    <w:p w:rsidR="00060DD9" w:rsidRPr="004B7AFD" w:rsidRDefault="00060DD9" w:rsidP="004B7AFD">
      <w:pPr>
        <w:spacing w:line="360" w:lineRule="auto"/>
        <w:ind w:firstLine="363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заслужений діяч науки і техніки України</w:t>
      </w:r>
    </w:p>
    <w:p w:rsidR="00060DD9" w:rsidRPr="004B7AFD" w:rsidRDefault="00060DD9" w:rsidP="004B7AFD">
      <w:pPr>
        <w:pStyle w:val="1"/>
        <w:spacing w:before="0" w:after="225" w:line="360" w:lineRule="auto"/>
        <w:jc w:val="both"/>
        <w:rPr>
          <w:rFonts w:ascii="Times New Roman" w:hAnsi="Times New Roman"/>
          <w:bCs w:val="0"/>
          <w:sz w:val="28"/>
          <w:szCs w:val="28"/>
          <w:lang w:val="uk-UA"/>
        </w:rPr>
      </w:pPr>
    </w:p>
    <w:p w:rsidR="00060DD9" w:rsidRPr="004B7AFD" w:rsidRDefault="00060DD9" w:rsidP="004B7AFD">
      <w:pPr>
        <w:pStyle w:val="1"/>
        <w:spacing w:before="0" w:after="225" w:line="360" w:lineRule="auto"/>
        <w:jc w:val="both"/>
        <w:rPr>
          <w:rFonts w:ascii="Times New Roman" w:hAnsi="Times New Roman"/>
          <w:bCs w:val="0"/>
          <w:sz w:val="28"/>
          <w:szCs w:val="28"/>
          <w:lang w:val="uk-UA"/>
        </w:rPr>
      </w:pPr>
      <w:r w:rsidRPr="004B7AFD">
        <w:rPr>
          <w:rFonts w:ascii="Times New Roman" w:hAnsi="Times New Roman"/>
          <w:bCs w:val="0"/>
          <w:sz w:val="28"/>
          <w:szCs w:val="28"/>
          <w:lang w:val="uk-UA"/>
        </w:rPr>
        <w:t>Практика формування інфо</w:t>
      </w:r>
      <w:bookmarkStart w:id="0" w:name="_GoBack"/>
      <w:bookmarkEnd w:id="0"/>
      <w:r w:rsidRPr="004B7AFD">
        <w:rPr>
          <w:rFonts w:ascii="Times New Roman" w:hAnsi="Times New Roman"/>
          <w:bCs w:val="0"/>
          <w:sz w:val="28"/>
          <w:szCs w:val="28"/>
          <w:lang w:val="uk-UA"/>
        </w:rPr>
        <w:t>рмаційного суспільства: досвід ФРН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Глобальний процес зародження і становлення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інформаційного суспільства та/чи суспільства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знань у різних країнах світу має чимало спільного і особливого. Однією з багатьох особливостей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формування цього суспільства в ФРН стало одночасне розгортання дискурсу в двох площинах: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1) в суто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науково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тео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ретичній та 2) у площині, яку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 даному випадку можна назвати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«программно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практичним дискурсом». Під останнім маються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 увазі дискусії, які точаться навколо практичних програм, реальних шляхів і методів та конкретних заходів щодо формування згаданого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суспільства.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Цікавим, показовим і повчальним тут є те,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що в ФРН ці програми й заходи розроблялись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 втілювались у життя на двох рівнях: а) державними інститутами й громадськими об’єднаннями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федерального, тобто загальнодержавного рівня та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b) установами і організаціями земельних рівнів.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Варто звернути увагу також на те, що в Німеччині згаданий дискурс почав формуватися десь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із 1982 р. і в нього одразу ж включився, причому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активно і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креативно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 федеральний уряд під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керівництвом Гельмута Коля. «Можливо, саме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завдяки його діяльності, — зазначає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німецькийдослідник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Х. – Д.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Кюблер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, автор відомої в Німеччині праці «Міфи про суспільство знань» 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[2], —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цей час залишив по собі в країні позитивні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спогади як серед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компетентнихосіб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 так і у консервативних колах». (На наш погляд, подібний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факт нагадування мав би стати прикладом,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гідним наслідування і для керівництва України).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Невдовзі участь у дискурсі, окрім залучених федеральним урядом науковців, взяли політичні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партії, громадські організації, профспілки і навіть релігійні кола, концентруючи свою увагу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переважно на тих аспектах, що для них Були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більш близькими і важливими. Певний науковий інтерес, зокрема своїм системним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підходомдо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аналізу проблем зародження і наслідків формування інформаційного суспільства, тут становлять положення меморандуму Євангелічної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церкви Німеччини 1985 р. В них зазначалось: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«Нові технології мають сильний вплив у нашому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суспільстві, поступово потрапляють до загальної свідомості. Ступінь вагомості змін виходить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замежі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підгалузей: він стосується не тільки окремих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дієвих ланок, а й принципів дії, досвіду, напрямів суспільної думки та звичок взагалі; змін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зазнають не тільки структура підприємств та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органів влади, але й інститути сім’ї, вільного часу, побуту. Разом з тим стає зрозуміло, що аналізувати треба не тільки окремі сфери діяльності, але й їх вплив на власний національний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образ та нашу культуру».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Віддаючи належне коректності наведенного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твердження і поставлених у ньому завдань, не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можна втриматись від двох зауважень.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пе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рше, варто звернути увагу на те, що в ФРН значна частина науковців розглядають дискусії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щодоінформаційного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суспільства та/чи суспільства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знань поширенням міфів. Про це, зокрема, свідчать назви лише деяких їх публікацій: Т. Росцак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«Втрата мислення. Про міфи епохи комп’ютерів»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5]; В.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Фаркас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«Міфи інформаційного суспільства: чого ми не довідуємося» [3]; В. Швайгер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«Міфи використання Інтернету — причини та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наслідки» [6], праця вже згаданого Х.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Кюблера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інші. На відміну від них, зазначена церква вже тоді, в середині 80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років минулого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століття, розглядала процеси народження нового суспільства та його 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зростаючий вплив на всі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сфери суспільного життя не як міфи, а як складну і суперечливу реальність. По_друге, активна,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безпосередня участь німецьких релігійних кіл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 дискурсі щодо інформаційного суспільства,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його переваг та потенційних небезпек, на наш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погляд, може бути прикладом і для українських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відповідних кіл, що, до речі, могло б сприяти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припиненню міжконфесійної ворожнечі між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ними та об’єднанню навколо пошуків вчасних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 адекватних відповідей на нові виклики часу.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Привертає також увагу і проект щодо розвитку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інформаційного суспільства, підготовлений співробітниками Міжнародного інституту аналізу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громадських досліджень при Берлінському науковому центрі.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пе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рше, тим, що його розробкою займались «чисті технократи», зокрема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математики і фізики. А,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–др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уге, він був присвячений переважно питанням впливу процесів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становлення інформаційного суспільства на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соціально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proofErr w:type="spellEnd"/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політичну сферу, про що свідчить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йогоназва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: «Від індустріального до інформаційного суспільства. Перехідні кризи в політиці, суспільстві та культурі» [2, с. 77].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Як уже зазначалось, дискусія щодо інформаційного суспільства та/чи суспільства знань точилася як на загальнонаціональному рівні, так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 на рівні окремих земель ФРН. У деяких із них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були створені спеціальні експертні комісії для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вивчення цього питання. Показовим є також і те,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що вони вели дослідження й дискусії з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позицій«трьох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діалогів» щодо «шляху до інформаційного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суспільства», зокрема з точки зору: a) суспільних наук, b) інформатики та с) педагогіки. Тут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важливим, на нашу думку, є те, що шляхи і наслідки формування нового суспільства досліджувались не лише з точки зору інформатики,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як було переважно в нашій країні, а й з точки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зору суспільних наук (до речі, названих першими!) і педагогіки.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Певний теоретичний та особливо практичний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інтерес становлять і деякі 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узагальнення та висновки даного дискурсу. В одному з них зазначалось, що «зростання інформаційного суспільства»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 країні розпочалося з 1950 р.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Визнавалосьтакож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 що: «Інформація в цьому суспільстві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відіграє таку ж важливу, або навіть ще суттєвішу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роль, ніж енергія та види сировини в індустріальному сторіччі». При цьому під інформацією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_</w:t>
      </w:r>
    </w:p>
    <w:p w:rsidR="00060DD9" w:rsidRPr="004B7AFD" w:rsidRDefault="00060DD9" w:rsidP="004B7AF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зумівся «відносно непевний та багатозначний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тип відносин між людьми». Водночас, констатувалось, що лише у 80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х роках «було закладено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його початок» і «на сьогодні істотні результати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діяльності інформаційного суспільства поки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щенеможливо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побачити». Стверджувалось також,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що термін переходу до інформаційного суспільства в найбільш розвинутих країнах становитиме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приблизно 150–200 років, а отже «цей процесс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триватиме щонайменше до 2100 року,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якщонавіть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не більше» [2, с. 78].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Як бачимо, висновки щодо стану формування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інформаційного суспільства навіть у такій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високорозвинутій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країні, як Німеччина, та прогнози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щодо перспектив його розвитку робились надто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вже критичні й песимістичні. Пояснити це, на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наш погляд, можна, перш за все, наслідками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впливу давно усталеної, консервативної думки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світового наукового співтовариства (за деякими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винятками), що не передбачала бурхливого, вибухового, революційного характеру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розвиткуінформаційних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комунікаційних технологій,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зокрема персональних комп’ютерів, Інтернету,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мобільних телефонів тощо. Показовим у цьому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плані може бути те, що, наскільки нам відомо,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навіть жоден із багатьох блискучих фантастів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планети так і не зумів передбачити появу мобільних телефонів.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І тим не менш, учасникам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программно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практичного дискурсу в ФРН доводилося рахуватися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зі зростанням частки інформаційного сектора,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який становив 18% у 1950 р., 40% у 1980 р.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та</w:t>
      </w:r>
      <w:proofErr w:type="spellEnd"/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51% у 1995 р. Відповідно до цього, «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технологіяформування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інформаційного суспільства стає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відкритою, 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зрозумілою, у більшості випадків також з аргументацією прогресивних напрямків та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позитивних явищ, відповідно до урядової політичної та громадської діяльності...». Особливо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цінним для України є досвід ФРН, який полягає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у тому, що «періодично Федеральний уряд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тайого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Міністерства формують концепції та готують програми для «сприяння розвитку мікроелектроніки, інформаційних та комунікаційних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технологій», хоча поки що у більшості випадків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уникають поняття «інформаційне суспільство»,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але суспільний радіус дії його впливу все збільшується...» Показовим є й те, що, на відміну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відпозицій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більшості науковців, «федеральний уряд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має прогресивні погляди на розвиток і впровадження інформаційних технологій та буде протистояти негативному впливові». Підтвердженням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цього може бути звіт Технологічної ради федерального уряду під назвою «Інформація 2000: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шлях Німеччини до інформаційного суспільства». В ньому, окрім усього іншого, було дано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оновлене узагальнююче визначення інформаційного суспільства: «Економічна система та форма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суспільства, в якому вирішальну роль відіграють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розшук, зберігання, обробка, поширення й використання відомостей та знань щодо зростаючих технічних можливостей інтерактивної комунікації». Варто також звернути увагу на те, що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прибундестазі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Німеччини було створено спеціальну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комісію, яка мала визначити «політичні наслідки», які випливають із «використання нових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інформаційних та комунікаційних технологій»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 одночасно забезпечити «найбільш повне використання інформаційного суспільства та, наскільки можливо, мінімізувати ризики» [2, с. 80–81].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Звичайно, не можна не згадати і представлену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 2000 р. тодішнім федеральним канцлером ФРН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Герхардом Шредером Програму з 10 пунктів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підназвою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«Інтернет для всіх — 10 кроків на шляху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до інформаційного суспільства». А згадки ця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Програма заслуговує з огляду на те, що вона зосереджувала увагу «на розширенні та полегшенні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доступу до Інтернету в 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громадських організаціях, школах, бібліотеках,в адміністративних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установах», а також для «людей із низьким рівнем освіти, безробітних та жінок».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 особливу увагу заслуговують деякі положення Програми дій «Інформаційне суспільство Німеччини 2006», відомої також під н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азвою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«Мас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терплан для шляху Німеччини до інформаційного суспільства».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пе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рше, в ній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наголосробився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 необхідності розвитку інформаційного суспільства в чотирьох напрямках: 1) «Цифрова економіка для зростання та к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онкуренто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проможності»; 2) «Освіта, дослідження та рівність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можливостей»; 3) «Е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Government (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врядуван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ня), безпека та довіра в Інтернеті»; 4)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Heа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lth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(електронна система охорони здоров’я)».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 нашу думку, вже з назв напрямків розвитку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інформаційного суспільства стають зрозумілими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причини такої активної участі доволі широких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верств населення Німеччини в дискурсах щодо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цієї проблематики. По_друге, поява в зазначеній Програмі нового сюжету, а саме проголошення планів розпочати «перехід до економіки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та суспільства, які ґрунтуються на знаннях («суспільство знань»)». І, нарешті, акцентуація уваги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 суто політичному аспекті інформаційного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суспільства, а саме на питаннях «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Governm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ent», тобто електронного врядування.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Загальне бачення і тлумачення проблем електронного врядування вже згадуваний Х. – Д.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Кюблер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виклав в окремому розділі свого дослідження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під досить нейтральною назвою «E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Government: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руйнування звичайної політики чи нова форма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участі?». Розділ починається з наведення висновків колишнього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віце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–прези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дента США Альберта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Гора про те, що настання нової «Афінської ери»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 можливостями участі для всіх та з безпосередньою демократією», що досягається за допомогою інформаційних магістралей, комп’ютерів та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Інтернету, принесло «визначні політичні зміни».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Однак, будучи прихильником критичного підходу до інформаційного суспільства, Х. – Д. 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Кюблер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намагається поставити під сумнів достовірність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цих висновків, зазначивши, що «стає зрозумілим,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що ця еволюція поки не набула відповідного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розмаху та й зміни виявились не завжди позитивними». Основними причинами такої ситуації,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 його слушну думку, стали недостатній розвиток нових інформаційних технологій та все ще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обмежений доступ пересічних громадян до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Інтернету. За його даними, навіть у Німеччині на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2004 р. майже половина населення не мала можливостей «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онлайн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proofErr w:type="spellEnd"/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доступу». А за конституцією,нагадує він,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керува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ння та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адміністрація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можу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ть уводитися, якщо у всіх громадян та громадянок є доступ до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онлайн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опцій, як до звичайних урн на виборах». А далі німецький дослідник зауважує: «І без цього існує питання,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чиможливе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забезпечення демократії шляхом натискання на кнопки миші, чи не потрібно для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цього особистих зустрічей та обміну аргументами». Не даючи конкретної відповіді на власне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запитання, Х. – Д.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Кюблер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натомість зазначає,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що«цей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процес може призвести до появи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денаціональних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та наднаціональних тенденцій» [2, с. 191].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Варто звернути увагу на те, що при аналізі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зазначених тенденцій учений розмежовує і користується такими поняттями, як: «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Governance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»,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«Globa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l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governance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» («керівництво»,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«глобальне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керівництво»)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«Governm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ents», «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State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governments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» («органи влади», «державні органи влади»). Сутність же згаданих тенденцій полягає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 тому, що «національні держави та їх органи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влади («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Governments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») поступово зникають із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центру глобальної дії, хоч усе ще утворюють —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 складі приблизно 191 члена Організації Об’єднаних Націй — формальні основи для міжнародної системи; проте помітно утворюються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коаліції зовсім різних учасників». Під останніми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він має на увазі транснаціональні корпорації,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міжнародні та національні недержавні організації тощо. Зрозуміло, що нічого нового в цьому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немає. А от його міркування і трактування концепту «транснаціональної держави» як «подвійної» або 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«гібридної» моделі, яка «базується на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класичній національній державі» та має «забезпечувати перехід до «всесвітнього суспільства»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заслуговує на увагу і з теоретичної, і з практичної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точок зору. Така «гібридна» модель під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назвою«транснаціональна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держава» виникає внаслідок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процесів, які британський соціолог Роланд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Робертсон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ще на початку 90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років охарактеризував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як «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глокалізація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», тобто одночасна дія і взаємовплив процесів глобалізації та локалізації [4].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Внаслідок бурхливого розвитку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інформаційно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омунікаційних технологій це призводить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дотого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 що держава вже перестає бути територіально обмеженою і починає функціонувати як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 традиційному локальному, так і на глобальному рівнях, тобто в умовах не лише «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багатоцентрової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світової політики, світового ринку, транснаціональних корпорацій», а й «культурної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різноманітності та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мульти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етнічних тотожностей». Це, на думку Х. – Д.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Кюблера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 вимагає постановки «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інфоетичного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питання», зокрема розробки, поширення, прийняття і добровільного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дотримання мережевого етикету, тобто правил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поведінки для мережі Інтернет, як перших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кроків на шляху до становлення електронної демократії (E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democracy), формування національного громадянського суспільства («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National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civic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s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ociety») та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громадсько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суспільного саморегулювання міжнародної комунікації («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Global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governance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») [2, с. 191–193].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Певний практичний інтерес тут становлять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конкретні заходи щодо розбудови в Н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імеччині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демократії». Йдеться про зведення кількох міст,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відомих під назвою «форейтори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демократ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ії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серв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ісу», їх досить щедре фінансування з федерального та земельних бюджетів (на 2010 р. ця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сума становила понад 11 мільярдів євро) та перетворення деяких з них, як, приміром, новее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містечко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Еслінг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 на «маяки е</w:t>
      </w:r>
      <w:proofErr w:type="spellStart"/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Governmen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ts».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Привернути увагу вітчизняних політологів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 політиків мають також висновки Х. – Д. Кюблера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про те, що поширення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демократ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ії може мати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й 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певні негативні наслідки. Ось як звучать його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основні застереження: «Певною мірою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паралельно відбувається руйнування і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реактивізація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політичного управління, інколи у вигляді взаємної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конкуренції, проте нечасто результатом стає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продуктивне доповнення, у зв’язку з цим увесь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політичний спектр видається для багатьох не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тільки заплутаним, а навіть усе більш і більш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сумнівним. Емоційні реакції виникають через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масову стриманість чи відразу до брехні, до якої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вдаються корисливі та цинічні політики, на боці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яких сила.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Політична освіта</w:t>
      </w:r>
      <w:r w:rsidRPr="004B7AF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повинна була б бути більш ґрунтовною, аби заперечити цю поширену руйнівну суміш нераціональних установок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та вказати на конструктивні, раціональні й прозорі шляхи вдосконалення суспільства (курсив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наш —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О. К.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)» [2, с. 194–195].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Наведені твердження Х. – Д.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Кюблера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можна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екстраполювати і на Україну, але це потребує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кількох коментарів.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пе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рше, варто погодитися з тим, що політики, причому всіх кольорів та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відтінків, є «корисливими і цинічними» та «вдаються до брехні», особливо напередодні виборів. Причому громадяни нашої країни знають про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це давно, досить добре і з власного досвіду.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др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уге, в Україні, на жаль, не має жодних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ознак «масової відрази» до перманентної, нахабної, а часом і цинічної брехні з боку багатьох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представників усіх політичних сил. Більшість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суспільства дуже швидко забуває і пробачає негідні, м’яко кажучи, вчинки й поведінку політиків, точніше політиканів, і впродовж кількох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виборів поспіль голосує за одних і тих же кандидатів. Причини такої дивної, ірраціональної поведінки виходять за рамки даної статті, але можуть стати предметом окремого дослідження.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тр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етє, слід було б звернути особливу увагу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 пропозицію німецького дослідника щодо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вдосконалення і посилення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політичної освіти</w:t>
      </w:r>
      <w:r w:rsidRPr="004B7AF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населення. Це варто і доцільно було б зробити,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точніше, цього просто вимагає ситуація. Адже,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Українастала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однією з найбільш заполітизованих країн 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світу, вона, мабуть, б’є всі рекорди за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кількістю політичних партій та за частотою чергових і особливо позачергових виборів, а її правлячому класові та й більшості громадян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вочевидьбракує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політичної культури та елементарних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знань з теорії державного будівництва, розвитку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демократії, формування громадянського суспільства, організації й проведення виборів і багато чого іншого, що може допомогти знайти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«конструктивні, раціональні та прозорі шляхи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вдосконалення суспільства».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Як відомо, в цивілізованих країнах місія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політичної освіти</w:t>
      </w:r>
      <w:r w:rsidRPr="004B7AF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широких верств населення, особливо студентства, покладається на суспільні науки,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зокрема політологію. Однак, упродовж двох останніх десятиліть в Україні робилось і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робитьсявсе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для того, щоб ця місія залишалась не виконаною. Варто згадати, як важко відбувався процесс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народження й становлення політології як нормативної дисципліни у вищих навчальних закладах на рубежі 80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90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років минулого століття.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Який шалений масований наступ, причому за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допомогою тодішнього Міністерства освіти та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науки України на політологію розгорнули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 першій половині 90–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років українські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націонал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proofErr w:type="spellEnd"/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радикали та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націонал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ек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стремісти, намагаючись заборонити її викладання та замінити на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т.зв. «науковий націоналізм». Як у «помаранчеві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часи» заходилися переписувати підручники та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посібники з політології та історії України на догоду тогочасній владі. Та й сьогодні цей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наступпродовжується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шляхом обмеження фінансування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науково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ослідних інститутів НАН України,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зокрема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суспільно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-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олітичного спрямування,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катастрофічного скорочення годин на вивчення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суспільних наук та бездумної, часто безглуздої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регламентації та формалізації самого навчального процесу.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Щодо політології, яка має виконувати провідну роль у політичному вихованні, то, окрім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усього іншого, не припиняються спроби позбавити її 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статусу нормативної та перевести до статусу вибіркових дисциплін. Висновок з усього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цього випливає один: жодному із правлячих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 Україні класів, як у минулому, так і сьогодні,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політологія не тільки не потрібна, а й заважає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у боротьбі за владу або її утримання. Отже, й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досіактуальною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залишається рекомендація, запропонована ЮНЕСКО ще в далекому 1948 р., щодо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необхідності розширення і вдосконалення викладання політології та абсолютно коректним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видається запропонований тоді ж критерій визначення рівня демократичності й цивілізованості будь – якого суспільства, а саме — стан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таперспективи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розвитку політології як науки і навчальної дисципліни.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Привертають увагу і в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исновки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засте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реження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Х. – Д.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Кюблера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щодо інших негативних наслідків розвитку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інформаційно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комунікаційн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технологій (зрозуміло, поряд з їх перевагами)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й їх впливу на розвиток е</w:t>
      </w:r>
      <w:proofErr w:type="spellStart"/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демократ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ії. «Викликають побоювання, — слушно зазначає він, — також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різноманітні опції контролю та перевірки, які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неминуче наявні там, де є цифрове забезпечення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як латентне супроводження, але є такими, що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погано сприймаються пересічним громадянином. З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кредитноюкарткою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, карткою клієнта,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мобільним телефоном і електронною касою, зі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страховим свідоцтвом та паспортом, з камерами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спостереження та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Інтернет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покупками — постійно та всюди надходять дані про індивідуума,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які непомітно віддзеркалюють його звички,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потреби, шляхи, можливості, роблять його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діяльність прозорою чи повністю відкритою.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Якщо чипи (мікросхеми) стають ще ближчими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долюдини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(в прямому сенсі слова), як це планується завдяки цифровому одягу та ще більше — імплантатам до тіла, людина взагалі стає об’єктом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постійного цифрового контролю та нагляду. Не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залишається нічого особистого та інтимного...»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[2, с. 194].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Ще однією небезпекою стає т.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зв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«інформаційне забруднення», що може призводити до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«дезорієнтації та стану розгубленості», а це створює сприятливі 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 xml:space="preserve">умови для «зростання прихильності до дешевих, рекламованих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поширенихфундаменталістських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течій, які дивним чином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протидіють показовій ліберальності та пропагованому дотриманню нейтралітету у світогляді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«суспільства знань».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Згадує вчений і про такий недолік формування інформаційного суспільства та/чи суспільства знань, як т.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зв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. «зростання цифрового розриву». За його свідченням, «теза щодо зростання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розриву у галузі інформації і знань або «цифрового» («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divide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») розшарування суспільства на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«забезпечених інформацією» «інформаційних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багатіїв» («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information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rich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») та «інформаційних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бідняків» («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information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poor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»)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неодноразово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виголошується під час громадських дискусій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щодомайбутнього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розвитку суспільства...» [2, с. 178].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Основними причинами такого негативного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явища, яке має місце як на національному, так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 на глобальному рівнях, є недостатньо розгалужена інфраструктура, брак відповідного устаткування, недоступність значної частини населення планети та окремих країн до Інтернету,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 також доволі високі ціни на персональні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комп’ютери тощо.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Дещо несподіваним видається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висновок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зас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тереження Х.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Кюблера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щодо непередбачуваних наслідків накопичення інформації та знання в епоху, що характеризується ним як «доба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інформаційної надлишковості». «Варто припускати, — зауважує він, — що тривалий інформаційний надлишковий потік та вибух знання, який</w:t>
      </w:r>
    </w:p>
    <w:p w:rsidR="00060DD9" w:rsidRPr="004B7AFD" w:rsidRDefault="00060DD9" w:rsidP="004B7AF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 більшості випадків супроводжується яскрави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ми ярликами на зразок «нове!» та привертає короткочасну суспільну, передусім, медійну увагу,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зникатиме, забуватиметься. Тоді суспільство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знань було б, водночас, симптоматично суголосне суспільству забуття».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Отже, чогось особливо нового в цих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висновках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зас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тереженнях німецького вченого немає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(окрім, хіба що згадки про «суспільство 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забуття»),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але не може не бентежити схожість і небезпечність ситуації, яку спрогнозував ще у 80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рокахминулого століття відомий британський письменник Джордж Оруел.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Які ж заходи і шляхи поліпшення цієї складної ситуації та протидії чи хоча б послаблення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цієї дедалі міцніючої суперечливої тенденції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пропонує Х.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Кюблер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?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пе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рше, скорочення цифрового розриву можна досягти, на його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думку, шляхом «створення комп’ютерів, орієнтованих на людину», тобто за доступною ціною,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що, водночас, сприяло б «буму інформаційної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індустрії».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др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уге, щодо зазначених технічних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розробок, які ведуть до посилення контролю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 нагляду над людиною, то вони «вимагають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роз’яснення та потребують оцінки (з етичної точки зору та з позицій законодавства)».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тр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етє,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тут, за його твердженням, «варто дотримуватися» відповідного національного та міжнародного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права. А,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–четве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рте, в нагоді може стати задеклароване ще 1983 р. нове громадянське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правона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«інформаційне самовизначення» індивідууму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 «інформаційному суспільстві»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[2, с. 197, 221].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Це право, на його думку, «має перевірятись та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визначатись відповідно до окремого закону» як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на національному, так і на міжнародному рівнях. Нарешті, стосовно можливої трансформації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«суспільства знань» у «суспільство забуття»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абоїх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паралельного співіснування, то особливо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страшного тут, на наш погляд, нічого немає. Адже, так було і раніше: знання набувались, накопичувались, використовувались, застарівали,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забувались або спростовувались, а на їх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місцеприходили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і завжди будуть приходити нові знання. Цей процес, який можна вважати однією із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закономірностей суспільного розвитку, є одвічним і нескінченним [1].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Висновки з усього вищенаведеного можна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сформулювати таким чином.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пе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рше, дослідження дискурсу в Німеччині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щодо інформаційного суспільства та/чи суспільства знань показало, що йому (дискурсові)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притаманні 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lastRenderedPageBreak/>
        <w:t>як загальні, універсальні, так і особливі, специфічні риси. До останніх можна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віднести те, що: а) в зазначеному дискурсі в цій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країні беруть активну, безпосередню участь надзвичайно широкі народні маси, зокрема науковці, викладачі, представники різних політичних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партій, профспілок, церкви тощо; b) в наукових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колах Німеччини, як, мабуть, у жодній країні світу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(можливо, за винятком Великобританії), існує яскраво виражене скептичне, негативне ставлення до інформаційного суспільства та/чи суспільства знань; c) натомість, в урядових колах Німеччини, причому як на федеральному, так і на земельному рівнях, вочевидь, панує позитивне ставлення до зазначеного феномена.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др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уге, в Німеччині, як мабуть,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нів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жодній іншій країні, відбувається надзвичайно активний і плідний дискурс, названий автором цих р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ядків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«программно–</w:t>
      </w:r>
      <w:r w:rsidRPr="004B7AF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практични</w:t>
      </w:r>
      <w:proofErr w:type="spellEnd"/>
      <w:r w:rsidRPr="004B7AFD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м».</w:t>
      </w:r>
      <w:r w:rsidRPr="004B7AF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Він вражає не лише своєю масовістю, а й безпосередньою участю перших осіб держави та всіх її земель у розробці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спеціальних програм, їх обговоренні, прийнятті конкретних практичних рішень щодо стратегії й тактики формування інформаційного суспільства та/чи суспільства знань, у контролі за процесом їх утілення в життя, а також, і це головне — їхньою готовністю брати на себе відповідальність за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будь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які прорахунки та невдачі.</w:t>
      </w:r>
    </w:p>
    <w:p w:rsidR="00060DD9" w:rsidRPr="004B7AFD" w:rsidRDefault="00060DD9" w:rsidP="004B7AFD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тр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етє, певний практичний інтерес становить досвід Німеччини щодо встановлення в країні «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демокра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тії». Йдеться, зокрема, про будівництво кількох міст, відомих під назвою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«форейтори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е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демократ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ії та е</w:t>
      </w:r>
      <w:proofErr w:type="spellStart"/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серві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су» та їх досить щедре, у кільканадцять мільярдів євро, фінансування з федерального та земельних бюджетів. Вартують уваги також висновок та пропозиції Х.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–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Д. </w:t>
      </w:r>
      <w:proofErr w:type="spellStart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Кюблера</w:t>
      </w:r>
      <w:proofErr w:type="spellEnd"/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щодо доцільності посилення і вдосконалення</w:t>
      </w:r>
      <w:r w:rsidRPr="004B7AFD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Style w:val="a8"/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політичної освіти</w:t>
      </w:r>
      <w:r w:rsidRPr="004B7AFD">
        <w:rPr>
          <w:rStyle w:val="apple-converted-space"/>
          <w:rFonts w:ascii="Times New Roman" w:hAnsi="Times New Roman"/>
          <w:i/>
          <w:iCs/>
          <w:color w:val="000000"/>
          <w:sz w:val="28"/>
          <w:szCs w:val="28"/>
          <w:bdr w:val="none" w:sz="0" w:space="0" w:color="auto" w:frame="1"/>
          <w:lang w:val="uk-UA"/>
        </w:rPr>
        <w:t> </w:t>
      </w:r>
      <w:r w:rsidRPr="004B7AFD">
        <w:rPr>
          <w:rFonts w:ascii="Times New Roman" w:hAnsi="Times New Roman"/>
          <w:color w:val="000000"/>
          <w:sz w:val="28"/>
          <w:szCs w:val="28"/>
          <w:bdr w:val="none" w:sz="0" w:space="0" w:color="auto" w:frame="1"/>
          <w:lang w:val="uk-UA"/>
        </w:rPr>
        <w:t>в умовах формування «інформаційного суспільства» та/чи «суспільства знань».</w:t>
      </w:r>
    </w:p>
    <w:p w:rsidR="00060DD9" w:rsidRPr="004B7AFD" w:rsidRDefault="00060DD9" w:rsidP="004B7AFD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0DD9" w:rsidRPr="004B7AFD" w:rsidRDefault="00060DD9" w:rsidP="004B7AFD">
      <w:pPr>
        <w:pStyle w:val="a5"/>
        <w:tabs>
          <w:tab w:val="left" w:pos="1534"/>
        </w:tabs>
        <w:spacing w:before="1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60DD9" w:rsidRPr="004B7AFD" w:rsidSect="004B7AFD">
      <w:footerReference w:type="even" r:id="rId8"/>
      <w:footerReference w:type="default" r:id="rId9"/>
      <w:pgSz w:w="11900" w:h="16840"/>
      <w:pgMar w:top="1134" w:right="567" w:bottom="1134" w:left="1701" w:header="2529" w:footer="25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0D4" w:rsidRDefault="00FF20D4" w:rsidP="00B05C9F">
      <w:r>
        <w:separator/>
      </w:r>
    </w:p>
  </w:endnote>
  <w:endnote w:type="continuationSeparator" w:id="0">
    <w:p w:rsidR="00FF20D4" w:rsidRDefault="00FF20D4" w:rsidP="00B05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D9" w:rsidRDefault="00060DD9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DD9" w:rsidRDefault="00060DD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0D4" w:rsidRDefault="00FF20D4" w:rsidP="00B05C9F">
      <w:r>
        <w:separator/>
      </w:r>
    </w:p>
  </w:footnote>
  <w:footnote w:type="continuationSeparator" w:id="0">
    <w:p w:rsidR="00FF20D4" w:rsidRDefault="00FF20D4" w:rsidP="00B05C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55F67"/>
    <w:multiLevelType w:val="hybridMultilevel"/>
    <w:tmpl w:val="FFFFFFFF"/>
    <w:lvl w:ilvl="0" w:tplc="6706CB3A">
      <w:start w:val="1"/>
      <w:numFmt w:val="decimal"/>
      <w:lvlText w:val="%1."/>
      <w:lvlJc w:val="left"/>
      <w:pPr>
        <w:ind w:left="957" w:hanging="264"/>
      </w:pPr>
      <w:rPr>
        <w:rFonts w:ascii="Times New Roman" w:eastAsia="Times New Roman" w:hAnsi="Times New Roman" w:cs="Times New Roman" w:hint="default"/>
        <w:color w:val="231F20"/>
        <w:spacing w:val="0"/>
        <w:w w:val="94"/>
        <w:sz w:val="20"/>
        <w:szCs w:val="20"/>
      </w:rPr>
    </w:lvl>
    <w:lvl w:ilvl="1" w:tplc="E89ADFB0">
      <w:start w:val="1"/>
      <w:numFmt w:val="bullet"/>
      <w:lvlText w:val="•"/>
      <w:lvlJc w:val="left"/>
      <w:pPr>
        <w:ind w:left="1718" w:hanging="264"/>
      </w:pPr>
      <w:rPr>
        <w:rFonts w:hint="default"/>
      </w:rPr>
    </w:lvl>
    <w:lvl w:ilvl="2" w:tplc="1D9C37EA">
      <w:start w:val="1"/>
      <w:numFmt w:val="bullet"/>
      <w:lvlText w:val="•"/>
      <w:lvlJc w:val="left"/>
      <w:pPr>
        <w:ind w:left="2476" w:hanging="264"/>
      </w:pPr>
      <w:rPr>
        <w:rFonts w:hint="default"/>
      </w:rPr>
    </w:lvl>
    <w:lvl w:ilvl="3" w:tplc="9AC05110">
      <w:start w:val="1"/>
      <w:numFmt w:val="bullet"/>
      <w:lvlText w:val="•"/>
      <w:lvlJc w:val="left"/>
      <w:pPr>
        <w:ind w:left="3234" w:hanging="264"/>
      </w:pPr>
      <w:rPr>
        <w:rFonts w:hint="default"/>
      </w:rPr>
    </w:lvl>
    <w:lvl w:ilvl="4" w:tplc="4B22B0A2">
      <w:start w:val="1"/>
      <w:numFmt w:val="bullet"/>
      <w:lvlText w:val="•"/>
      <w:lvlJc w:val="left"/>
      <w:pPr>
        <w:ind w:left="3992" w:hanging="264"/>
      </w:pPr>
      <w:rPr>
        <w:rFonts w:hint="default"/>
      </w:rPr>
    </w:lvl>
    <w:lvl w:ilvl="5" w:tplc="EC4EF622">
      <w:start w:val="1"/>
      <w:numFmt w:val="bullet"/>
      <w:lvlText w:val="•"/>
      <w:lvlJc w:val="left"/>
      <w:pPr>
        <w:ind w:left="4750" w:hanging="264"/>
      </w:pPr>
      <w:rPr>
        <w:rFonts w:hint="default"/>
      </w:rPr>
    </w:lvl>
    <w:lvl w:ilvl="6" w:tplc="18446002">
      <w:start w:val="1"/>
      <w:numFmt w:val="bullet"/>
      <w:lvlText w:val="•"/>
      <w:lvlJc w:val="left"/>
      <w:pPr>
        <w:ind w:left="5508" w:hanging="264"/>
      </w:pPr>
      <w:rPr>
        <w:rFonts w:hint="default"/>
      </w:rPr>
    </w:lvl>
    <w:lvl w:ilvl="7" w:tplc="BBE285D0">
      <w:start w:val="1"/>
      <w:numFmt w:val="bullet"/>
      <w:lvlText w:val="•"/>
      <w:lvlJc w:val="left"/>
      <w:pPr>
        <w:ind w:left="6266" w:hanging="264"/>
      </w:pPr>
      <w:rPr>
        <w:rFonts w:hint="default"/>
      </w:rPr>
    </w:lvl>
    <w:lvl w:ilvl="8" w:tplc="F9EEE12C">
      <w:start w:val="1"/>
      <w:numFmt w:val="bullet"/>
      <w:lvlText w:val="•"/>
      <w:lvlJc w:val="left"/>
      <w:pPr>
        <w:ind w:left="7024" w:hanging="26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5C9F"/>
    <w:rsid w:val="00060DD9"/>
    <w:rsid w:val="000E0E21"/>
    <w:rsid w:val="000E2D6C"/>
    <w:rsid w:val="000F76EB"/>
    <w:rsid w:val="00152590"/>
    <w:rsid w:val="00183299"/>
    <w:rsid w:val="003C1AB9"/>
    <w:rsid w:val="004B7AFD"/>
    <w:rsid w:val="004E0F1F"/>
    <w:rsid w:val="00565E43"/>
    <w:rsid w:val="00827EEA"/>
    <w:rsid w:val="00874B59"/>
    <w:rsid w:val="009377CA"/>
    <w:rsid w:val="00AD232B"/>
    <w:rsid w:val="00B05C9F"/>
    <w:rsid w:val="00B85B61"/>
    <w:rsid w:val="00C20384"/>
    <w:rsid w:val="00C346C4"/>
    <w:rsid w:val="00C5274B"/>
    <w:rsid w:val="00DB504F"/>
    <w:rsid w:val="00EC1316"/>
    <w:rsid w:val="00EC2FD9"/>
    <w:rsid w:val="00FF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9F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B05C9F"/>
    <w:pPr>
      <w:spacing w:before="2"/>
      <w:ind w:left="1485" w:hanging="341"/>
      <w:outlineLvl w:val="0"/>
    </w:pPr>
    <w:rPr>
      <w:b/>
      <w:bCs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05C9F"/>
    <w:pPr>
      <w:spacing w:before="1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504F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9"/>
    <w:semiHidden/>
    <w:locked/>
    <w:rsid w:val="00DB504F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paragraph" w:styleId="a3">
    <w:name w:val="Body Text"/>
    <w:basedOn w:val="a"/>
    <w:link w:val="a4"/>
    <w:uiPriority w:val="99"/>
    <w:rsid w:val="00B05C9F"/>
    <w:pPr>
      <w:spacing w:before="1"/>
      <w:ind w:left="957" w:firstLine="283"/>
    </w:pPr>
    <w:rPr>
      <w:rFonts w:ascii="Times New Roman" w:eastAsia="Times New Roman" w:hAnsi="Times New Roman"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DB504F"/>
    <w:rPr>
      <w:rFonts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B05C9F"/>
  </w:style>
  <w:style w:type="paragraph" w:customStyle="1" w:styleId="TableParagraph">
    <w:name w:val="Table Paragraph"/>
    <w:basedOn w:val="a"/>
    <w:uiPriority w:val="99"/>
    <w:rsid w:val="00B05C9F"/>
  </w:style>
  <w:style w:type="character" w:customStyle="1" w:styleId="apple-converted-space">
    <w:name w:val="apple-converted-space"/>
    <w:uiPriority w:val="99"/>
    <w:rsid w:val="004B7AFD"/>
    <w:rPr>
      <w:rFonts w:cs="Times New Roman"/>
    </w:rPr>
  </w:style>
  <w:style w:type="character" w:styleId="a6">
    <w:name w:val="Hyperlink"/>
    <w:uiPriority w:val="99"/>
    <w:rsid w:val="004B7AFD"/>
    <w:rPr>
      <w:rFonts w:cs="Times New Roman"/>
      <w:color w:val="0000FF"/>
      <w:u w:val="single"/>
    </w:rPr>
  </w:style>
  <w:style w:type="character" w:styleId="a7">
    <w:name w:val="Strong"/>
    <w:uiPriority w:val="99"/>
    <w:qFormat/>
    <w:locked/>
    <w:rsid w:val="004B7AFD"/>
    <w:rPr>
      <w:rFonts w:cs="Times New Roman"/>
      <w:b/>
      <w:bCs/>
    </w:rPr>
  </w:style>
  <w:style w:type="character" w:styleId="a8">
    <w:name w:val="Emphasis"/>
    <w:uiPriority w:val="99"/>
    <w:qFormat/>
    <w:locked/>
    <w:rsid w:val="004B7AFD"/>
    <w:rPr>
      <w:rFonts w:cs="Times New Roman"/>
      <w:i/>
      <w:iCs/>
    </w:rPr>
  </w:style>
  <w:style w:type="paragraph" w:styleId="a9">
    <w:name w:val="header"/>
    <w:basedOn w:val="a"/>
    <w:link w:val="aa"/>
    <w:uiPriority w:val="99"/>
    <w:rsid w:val="004B7AF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9377CA"/>
    <w:rPr>
      <w:rFonts w:cs="Times New Roman"/>
      <w:lang w:val="en-US" w:eastAsia="en-US"/>
    </w:rPr>
  </w:style>
  <w:style w:type="paragraph" w:styleId="ab">
    <w:name w:val="footer"/>
    <w:basedOn w:val="a"/>
    <w:link w:val="ac"/>
    <w:uiPriority w:val="99"/>
    <w:rsid w:val="004B7A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semiHidden/>
    <w:locked/>
    <w:rsid w:val="009377CA"/>
    <w:rPr>
      <w:rFonts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14</Pages>
  <Words>3825</Words>
  <Characters>21808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Практика формування інформаційного суспільства: досвід ФРН</vt:lpstr>
    </vt:vector>
  </TitlesOfParts>
  <Company>Університет економіки та права «КРОК» (www.krok.edu.ua)</Company>
  <LinksUpToDate>false</LinksUpToDate>
  <CharactersWithSpaces>25582</CharactersWithSpaces>
  <SharedDoc>false</SharedDoc>
  <HyperlinkBase>http://library.krok.edu.ua/ua/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Практика формування інформаційного суспільства: досвід ФРН</dc:title>
  <dc:subject>Практика формування інформаційного суспільства: досвід ФРН</dc:subject>
  <dc:creator>Картунов Олексій Васильович</dc:creator>
  <cp:keywords>ФРН,  інформаційне суспільство, глобалізація</cp:keywords>
  <dc:description>Картунов О.В. Практика формування інформаційного суспільства: досвід ФРН. / Картунов О.В. // Політологічний вісник: Зб. наук. праць. – К., 2012. – Вип. 61. – С. 155-166.</dc:description>
  <cp:lastModifiedBy>Шкловцов Ігор Михайлович</cp:lastModifiedBy>
  <cp:revision>7</cp:revision>
  <dcterms:created xsi:type="dcterms:W3CDTF">2015-12-10T16:58:00Z</dcterms:created>
  <dcterms:modified xsi:type="dcterms:W3CDTF">2015-12-15T16:44:00Z</dcterms:modified>
  <cp:category>Наукові статті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PageMaker 7.0</vt:lpwstr>
  </property>
</Properties>
</file>